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6FD3" w:rsidRPr="005E6FD3" w:rsidRDefault="005E6FD3" w:rsidP="005E6FD3">
      <w:pPr>
        <w:tabs>
          <w:tab w:val="left" w:pos="420"/>
          <w:tab w:val="left" w:pos="4184"/>
        </w:tabs>
        <w:jc w:val="left"/>
        <w:rPr>
          <w:rFonts w:ascii="宋体" w:eastAsia="宋体" w:hAnsi="宋体"/>
          <w:b/>
        </w:rPr>
      </w:pPr>
      <w:r w:rsidRPr="005E6FD3">
        <w:rPr>
          <w:rFonts w:ascii="宋体" w:eastAsia="宋体" w:hAnsi="宋体" w:hint="eastAsia"/>
          <w:b/>
        </w:rPr>
        <w:t xml:space="preserve">  试卷代号：1292</w:t>
      </w:r>
    </w:p>
    <w:p w:rsidR="005E6FD3" w:rsidRPr="005E6FD3" w:rsidRDefault="005E6FD3" w:rsidP="005E6FD3">
      <w:pPr>
        <w:tabs>
          <w:tab w:val="left" w:pos="420"/>
          <w:tab w:val="left" w:pos="4184"/>
        </w:tabs>
        <w:jc w:val="center"/>
        <w:rPr>
          <w:rFonts w:ascii="宋体" w:eastAsia="宋体" w:hAnsi="宋体"/>
          <w:b/>
        </w:rPr>
      </w:pPr>
      <w:r w:rsidRPr="005E6FD3">
        <w:rPr>
          <w:rFonts w:ascii="宋体" w:eastAsia="宋体" w:hAnsi="宋体" w:hint="eastAsia"/>
          <w:b/>
        </w:rPr>
        <w:t>国家开放大学2022年春季学期期末统一考试</w:t>
      </w:r>
    </w:p>
    <w:p w:rsidR="005E6FD3" w:rsidRPr="005E6FD3" w:rsidRDefault="005E6FD3" w:rsidP="005E6FD3">
      <w:pPr>
        <w:tabs>
          <w:tab w:val="left" w:pos="420"/>
          <w:tab w:val="left" w:pos="4184"/>
        </w:tabs>
        <w:jc w:val="center"/>
        <w:rPr>
          <w:rFonts w:ascii="宋体" w:eastAsia="宋体" w:hAnsi="宋体"/>
        </w:rPr>
      </w:pPr>
      <w:r w:rsidRPr="005E6FD3">
        <w:rPr>
          <w:rFonts w:ascii="宋体" w:eastAsia="宋体" w:hAnsi="宋体" w:hint="eastAsia"/>
          <w:b/>
        </w:rPr>
        <w:t>企业集团财务管理  试题</w:t>
      </w:r>
      <w:r w:rsidRPr="005E6FD3">
        <w:rPr>
          <w:rFonts w:ascii="宋体" w:eastAsia="宋体" w:hAnsi="宋体" w:hint="eastAsia"/>
        </w:rPr>
        <w:t>（开卷）</w:t>
      </w:r>
    </w:p>
    <w:p w:rsidR="005E6FD3" w:rsidRPr="005E6FD3" w:rsidRDefault="005E6FD3" w:rsidP="005E6FD3">
      <w:pPr>
        <w:tabs>
          <w:tab w:val="left" w:pos="420"/>
          <w:tab w:val="left" w:pos="4184"/>
        </w:tabs>
        <w:jc w:val="right"/>
        <w:rPr>
          <w:rFonts w:ascii="宋体" w:eastAsia="宋体" w:hAnsi="宋体"/>
        </w:rPr>
      </w:pPr>
      <w:r w:rsidRPr="005E6FD3">
        <w:rPr>
          <w:rFonts w:ascii="宋体" w:eastAsia="宋体" w:hAnsi="宋体" w:hint="eastAsia"/>
        </w:rPr>
        <w:t>2022年7月</w:t>
      </w:r>
    </w:p>
    <w:p w:rsidR="005E6FD3" w:rsidRPr="005E6FD3" w:rsidRDefault="005E6FD3" w:rsidP="005E6FD3">
      <w:pPr>
        <w:tabs>
          <w:tab w:val="left" w:pos="420"/>
          <w:tab w:val="left" w:pos="4184"/>
        </w:tabs>
        <w:spacing w:before="150"/>
        <w:rPr>
          <w:rFonts w:ascii="宋体" w:eastAsia="宋体" w:hAnsi="宋体"/>
        </w:rPr>
      </w:pPr>
      <w:r w:rsidRPr="005E6FD3">
        <w:rPr>
          <w:rFonts w:ascii="宋体" w:eastAsia="宋体" w:hAnsi="宋体" w:hint="eastAsia"/>
          <w:b/>
        </w:rPr>
        <w:t>一、单项选择题（将正确答案的字母序号填入括号内。每小题2分，共20分）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1.当投资企业拥有被投资企业有表决权的资本比例超过50%以上时，母公司对被投资企业拥有的控制权为(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A.共同控股</w:t>
      </w:r>
      <w:r w:rsidRPr="005E6FD3">
        <w:rPr>
          <w:rFonts w:ascii="宋体" w:eastAsia="宋体" w:hAnsi="宋体" w:hint="eastAsia"/>
        </w:rPr>
        <w:tab/>
        <w:t>B.全资控股</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C.绝对控股</w:t>
      </w:r>
      <w:r w:rsidRPr="005E6FD3">
        <w:rPr>
          <w:rFonts w:ascii="宋体" w:eastAsia="宋体" w:hAnsi="宋体" w:hint="eastAsia"/>
        </w:rPr>
        <w:tab/>
        <w:t>D.相对控股</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2.对于金融控股型企业集团，母公司选择何种企业进入企业集团，投资的根本是潜在成员企业的(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A.财务业绩表现</w:t>
      </w:r>
      <w:r w:rsidRPr="005E6FD3">
        <w:rPr>
          <w:rFonts w:ascii="宋体" w:eastAsia="宋体" w:hAnsi="宋体" w:hint="eastAsia"/>
        </w:rPr>
        <w:tab/>
        <w:t>B.融资筹资能力</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C.业务互补情况</w:t>
      </w:r>
      <w:r w:rsidRPr="005E6FD3">
        <w:rPr>
          <w:rFonts w:ascii="宋体" w:eastAsia="宋体" w:hAnsi="宋体" w:hint="eastAsia"/>
        </w:rPr>
        <w:tab/>
        <w:t>D.资源优化配置</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3.依照企业集团总部管理的定位，(     )功能是企业集团管理的核心。</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A.财务控制与管理</w:t>
      </w:r>
      <w:r w:rsidRPr="005E6FD3">
        <w:rPr>
          <w:rFonts w:ascii="宋体" w:eastAsia="宋体" w:hAnsi="宋体" w:hint="eastAsia"/>
        </w:rPr>
        <w:tab/>
        <w:t>B.人力资源管理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C.战略决策和管理</w:t>
      </w:r>
      <w:r w:rsidRPr="005E6FD3">
        <w:rPr>
          <w:rFonts w:ascii="宋体" w:eastAsia="宋体" w:hAnsi="宋体" w:hint="eastAsia"/>
        </w:rPr>
        <w:tab/>
        <w:t>D.资本运营和产权管理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4.在分析企业集团内外环境因素的基础上，设定企业集团发展目标并规划其实现路径的总称是(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A.企业集团战略管理</w:t>
      </w:r>
      <w:r w:rsidRPr="005E6FD3">
        <w:rPr>
          <w:rFonts w:ascii="宋体" w:eastAsia="宋体" w:hAnsi="宋体" w:hint="eastAsia"/>
        </w:rPr>
        <w:tab/>
        <w:t>B.企业集团经营定位</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C.企业集团目标规划</w:t>
      </w:r>
      <w:r w:rsidRPr="005E6FD3">
        <w:rPr>
          <w:rFonts w:ascii="宋体" w:eastAsia="宋体" w:hAnsi="宋体" w:hint="eastAsia"/>
        </w:rPr>
        <w:tab/>
        <w:t>D.企业集团战略</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5.制定企业集团财务战略的根本是(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A.集团财务能力</w:t>
      </w:r>
      <w:r w:rsidRPr="005E6FD3">
        <w:rPr>
          <w:rFonts w:ascii="宋体" w:eastAsia="宋体" w:hAnsi="宋体" w:hint="eastAsia"/>
        </w:rPr>
        <w:tab/>
        <w:t>B.集团整体战略</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C.集团所属行业</w:t>
      </w:r>
      <w:r w:rsidRPr="005E6FD3">
        <w:rPr>
          <w:rFonts w:ascii="宋体" w:eastAsia="宋体" w:hAnsi="宋体" w:hint="eastAsia"/>
        </w:rPr>
        <w:tab/>
        <w:t>D.集团金融环境</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6.企业审慎性调查中需要重点考虑的风险是(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A.财务风险</w:t>
      </w:r>
      <w:r w:rsidRPr="005E6FD3">
        <w:rPr>
          <w:rFonts w:ascii="宋体" w:eastAsia="宋体" w:hAnsi="宋体" w:hint="eastAsia"/>
        </w:rPr>
        <w:tab/>
        <w:t>B.税务风险</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C.法律风险</w:t>
      </w:r>
      <w:r w:rsidRPr="005E6FD3">
        <w:rPr>
          <w:rFonts w:ascii="宋体" w:eastAsia="宋体" w:hAnsi="宋体" w:hint="eastAsia"/>
        </w:rPr>
        <w:tab/>
        <w:t>D.人力资本及劳资关系风险</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7.企业集团设立财务公司应当具备条件之一，申请前一年，按规定并表核算的成员单位资产总额不低于50亿元人民币，净资产率不低于(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A.10%</w:t>
      </w:r>
      <w:r w:rsidRPr="005E6FD3">
        <w:rPr>
          <w:rFonts w:ascii="宋体" w:eastAsia="宋体" w:hAnsi="宋体" w:hint="eastAsia"/>
        </w:rPr>
        <w:tab/>
        <w:t>B.20%</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C.30%</w:t>
      </w:r>
      <w:r w:rsidRPr="005E6FD3">
        <w:rPr>
          <w:rFonts w:ascii="宋体" w:eastAsia="宋体" w:hAnsi="宋体" w:hint="eastAsia"/>
        </w:rPr>
        <w:tab/>
        <w:t>D.40%</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8.企业集团预算考核原则中，(     )原则是指应根据集团战略要求和目标导向，针对下属成员企业的差异化要求等，设置不同的指标体系或不同等级的目标值等进行考核。</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A.总体优化原则</w:t>
      </w:r>
      <w:r w:rsidRPr="005E6FD3">
        <w:rPr>
          <w:rFonts w:ascii="宋体" w:eastAsia="宋体" w:hAnsi="宋体" w:hint="eastAsia"/>
        </w:rPr>
        <w:tab/>
        <w:t>B.可控性原则</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C.公平公正原则</w:t>
      </w:r>
      <w:r w:rsidRPr="005E6FD3">
        <w:rPr>
          <w:rFonts w:ascii="宋体" w:eastAsia="宋体" w:hAnsi="宋体" w:hint="eastAsia"/>
        </w:rPr>
        <w:tab/>
        <w:t>D.分级考核原则</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9.下列内容属于财务管理分析外部信息的是(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A.公司预算</w:t>
      </w:r>
      <w:r w:rsidRPr="005E6FD3">
        <w:rPr>
          <w:rFonts w:ascii="宋体" w:eastAsia="宋体" w:hAnsi="宋体" w:hint="eastAsia"/>
        </w:rPr>
        <w:tab/>
        <w:t>B.财务报表与附注</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C.管理报告</w:t>
      </w:r>
      <w:r w:rsidRPr="005E6FD3">
        <w:rPr>
          <w:rFonts w:ascii="宋体" w:eastAsia="宋体" w:hAnsi="宋体" w:hint="eastAsia"/>
        </w:rPr>
        <w:tab/>
        <w:t>D.竞争对手资料与相关信息</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10.从业绩可控性程度，业绩可分为(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A.时期业绩与时点业绩</w:t>
      </w:r>
      <w:r w:rsidRPr="005E6FD3">
        <w:rPr>
          <w:rFonts w:ascii="宋体" w:eastAsia="宋体" w:hAnsi="宋体" w:hint="eastAsia"/>
        </w:rPr>
        <w:tab/>
        <w:t>B.经营业绩与管理业绩</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C.当期业绩与任期业绩</w:t>
      </w:r>
      <w:r w:rsidRPr="005E6FD3">
        <w:rPr>
          <w:rFonts w:ascii="宋体" w:eastAsia="宋体" w:hAnsi="宋体" w:hint="eastAsia"/>
        </w:rPr>
        <w:tab/>
        <w:t>D.财务业绩与非财务业绩</w:t>
      </w:r>
    </w:p>
    <w:p w:rsidR="005E6FD3" w:rsidRPr="005E6FD3" w:rsidRDefault="005E6FD3" w:rsidP="00964DA1">
      <w:pPr>
        <w:tabs>
          <w:tab w:val="left" w:pos="420"/>
          <w:tab w:val="left" w:pos="4184"/>
        </w:tabs>
        <w:spacing w:before="150"/>
        <w:ind w:left="422" w:hangingChars="200" w:hanging="422"/>
        <w:rPr>
          <w:rFonts w:ascii="宋体" w:eastAsia="宋体" w:hAnsi="宋体"/>
        </w:rPr>
      </w:pPr>
      <w:r w:rsidRPr="005E6FD3">
        <w:rPr>
          <w:rFonts w:ascii="宋体" w:eastAsia="宋体" w:hAnsi="宋体" w:hint="eastAsia"/>
          <w:b/>
        </w:rPr>
        <w:t>二、多项选择题（下面各题所给的备选答案中，至少有两项是正确的，将正确答案的字母序号填入括号内。多选或漏选均不得分。每小题2分，共10分）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11.在企业集团的存在与发展中，主流的解释性理论有(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lastRenderedPageBreak/>
        <w:tab/>
        <w:t>A.范围经济理论</w:t>
      </w:r>
      <w:r w:rsidRPr="005E6FD3">
        <w:rPr>
          <w:rFonts w:ascii="宋体" w:eastAsia="宋体" w:hAnsi="宋体" w:hint="eastAsia"/>
        </w:rPr>
        <w:tab/>
        <w:t>B.交易成本理论</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C.规模经济理论</w:t>
      </w:r>
      <w:r w:rsidRPr="005E6FD3">
        <w:rPr>
          <w:rFonts w:ascii="宋体" w:eastAsia="宋体" w:hAnsi="宋体" w:hint="eastAsia"/>
        </w:rPr>
        <w:tab/>
        <w:t>D.角色缺失理论</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E.资产组合与风险分散理论</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12.在财务管理实践中，企业集团集团财务理念主要有(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A.数据化的管理文化</w:t>
      </w:r>
      <w:r w:rsidRPr="005E6FD3">
        <w:rPr>
          <w:rFonts w:ascii="宋体" w:eastAsia="宋体" w:hAnsi="宋体" w:hint="eastAsia"/>
        </w:rPr>
        <w:tab/>
        <w:t>B.协同效应最大化的价值理念</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C.总部与成员企业共同发展</w:t>
      </w:r>
      <w:r w:rsidRPr="005E6FD3">
        <w:rPr>
          <w:rFonts w:ascii="宋体" w:eastAsia="宋体" w:hAnsi="宋体" w:hint="eastAsia"/>
        </w:rPr>
        <w:tab/>
        <w:t>D.可持续发展的增长理念</w:t>
      </w:r>
    </w:p>
    <w:p w:rsidR="00A65A8B"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E.利润最大化</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13.不管集团财务管理体制是以集权为主还是以分权为主，在具体到集团融资这一重大决策事项时，都应遵循以下基本原则(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A.集中控制</w:t>
      </w:r>
      <w:r w:rsidRPr="005E6FD3">
        <w:rPr>
          <w:rFonts w:ascii="宋体" w:eastAsia="宋体" w:hAnsi="宋体" w:hint="eastAsia"/>
        </w:rPr>
        <w:tab/>
        <w:t>B.分层监督</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C.统一规划</w:t>
      </w:r>
      <w:r w:rsidRPr="005E6FD3">
        <w:rPr>
          <w:rFonts w:ascii="宋体" w:eastAsia="宋体" w:hAnsi="宋体" w:hint="eastAsia"/>
        </w:rPr>
        <w:tab/>
        <w:t>D.重点决策</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E.授权管理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14.预算管理具有(     )等基本特征。</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A.全程性</w:t>
      </w:r>
      <w:r w:rsidRPr="005E6FD3">
        <w:rPr>
          <w:rFonts w:ascii="宋体" w:eastAsia="宋体" w:hAnsi="宋体" w:hint="eastAsia"/>
        </w:rPr>
        <w:tab/>
        <w:t>B.简单性</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C.全员性</w:t>
      </w:r>
      <w:r w:rsidRPr="005E6FD3">
        <w:rPr>
          <w:rFonts w:ascii="宋体" w:eastAsia="宋体" w:hAnsi="宋体" w:hint="eastAsia"/>
        </w:rPr>
        <w:tab/>
        <w:t>D.战略性</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E.机制性</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15.通过公司价值计量模式可以看出，导致公司价值增加的核心变量主要有(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A.产品折旧</w:t>
      </w:r>
      <w:r w:rsidRPr="005E6FD3">
        <w:rPr>
          <w:rFonts w:ascii="宋体" w:eastAsia="宋体" w:hAnsi="宋体" w:hint="eastAsia"/>
        </w:rPr>
        <w:tab/>
        <w:t>B.自由现金流量</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C.时间上的可持续性</w:t>
      </w:r>
      <w:r w:rsidRPr="005E6FD3">
        <w:rPr>
          <w:rFonts w:ascii="宋体" w:eastAsia="宋体" w:hAnsi="宋体" w:hint="eastAsia"/>
        </w:rPr>
        <w:tab/>
        <w:t>D.加权平均资本成本</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ab/>
        <w:t>E.资本结构</w:t>
      </w:r>
    </w:p>
    <w:p w:rsidR="005E6FD3" w:rsidRPr="005E6FD3" w:rsidRDefault="005E6FD3" w:rsidP="005E6FD3">
      <w:pPr>
        <w:tabs>
          <w:tab w:val="left" w:pos="420"/>
          <w:tab w:val="left" w:pos="4184"/>
        </w:tabs>
        <w:spacing w:before="150"/>
        <w:rPr>
          <w:rFonts w:ascii="宋体" w:eastAsia="宋体" w:hAnsi="宋体"/>
        </w:rPr>
      </w:pPr>
      <w:r w:rsidRPr="005E6FD3">
        <w:rPr>
          <w:rFonts w:ascii="宋体" w:eastAsia="宋体" w:hAnsi="宋体" w:hint="eastAsia"/>
          <w:b/>
        </w:rPr>
        <w:t>三、判断题（正确的在括号内划“√”，错误的在括号内划“×”。每小题1分，共10分）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16.从母公司的角度，金融控股型企业集团的优势之一是具有高杠杆性。(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17.企业集团价值最大化最终将体现为母公司股东价值最大化。(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18.大多数情况下，企业集团纵向财务组织由“总部财务组织一子公司（或事业部）财务组织</w:t>
      </w:r>
      <w:proofErr w:type="gramStart"/>
      <w:r w:rsidRPr="005E6FD3">
        <w:rPr>
          <w:rFonts w:ascii="宋体" w:eastAsia="宋体" w:hAnsi="宋体" w:hint="eastAsia"/>
        </w:rPr>
        <w:t>一</w:t>
      </w:r>
      <w:proofErr w:type="gramEnd"/>
      <w:r w:rsidRPr="005E6FD3">
        <w:rPr>
          <w:rFonts w:ascii="宋体" w:eastAsia="宋体" w:hAnsi="宋体" w:hint="eastAsia"/>
        </w:rPr>
        <w:t>孙公司（或工厂）财务组织”等层级构成。(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19.事业部财务机构是强化事业部管理与控制的核心部门，具有双重身份。(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20.财务战略与经营战略之间存在“天然”互补性，经营上的高风险性也要求财务上的高杠杆化。(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21.当并购目标确定后，如何搜寻合适的并购对象，成为实施并购决策最为关键的一环。(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22.股利政策属于集团重大财务决策，因此，股利类型、分配比率、支付方式等财务决策权都应高度集中于集团总部。(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23.企业集团总部有权对母公司所有的控股的子公司下达预算目标。(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24.“资本结构”是负债与资产额之间的比例关系，它大体反映了企业财务风险。(     )</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25.利用E</w:t>
      </w:r>
      <w:r w:rsidRPr="005E6FD3">
        <w:rPr>
          <w:rFonts w:ascii="宋体" w:eastAsia="宋体" w:hAnsi="宋体" w:hint="eastAsia"/>
          <w:u w:val="single"/>
        </w:rPr>
        <w:t>VA进行</w:t>
      </w:r>
      <w:r w:rsidRPr="005E6FD3">
        <w:rPr>
          <w:rFonts w:ascii="宋体" w:eastAsia="宋体" w:hAnsi="宋体" w:hint="eastAsia"/>
        </w:rPr>
        <w:t>评价，其核心是确定△E</w:t>
      </w:r>
      <w:r>
        <w:rPr>
          <w:rFonts w:ascii="宋体" w:eastAsia="宋体" w:hAnsi="宋体" w:hint="eastAsia"/>
        </w:rPr>
        <w:t>V</w:t>
      </w:r>
      <w:r w:rsidRPr="005E6FD3">
        <w:rPr>
          <w:rFonts w:ascii="宋体" w:eastAsia="宋体" w:hAnsi="宋体" w:hint="eastAsia"/>
        </w:rPr>
        <w:t>A是否小于零，也就是“当年EVA-上年EVA”是否小于零，小于零则表明公司在创造价值，反之则相反。(     )</w:t>
      </w:r>
    </w:p>
    <w:p w:rsidR="005E6FD3" w:rsidRPr="005E6FD3" w:rsidRDefault="005E6FD3" w:rsidP="005E6FD3">
      <w:pPr>
        <w:tabs>
          <w:tab w:val="left" w:pos="420"/>
          <w:tab w:val="left" w:pos="4184"/>
        </w:tabs>
        <w:spacing w:before="150"/>
        <w:rPr>
          <w:rFonts w:ascii="宋体" w:eastAsia="宋体" w:hAnsi="宋体"/>
        </w:rPr>
      </w:pPr>
      <w:r w:rsidRPr="005E6FD3">
        <w:rPr>
          <w:rFonts w:ascii="宋体" w:eastAsia="宋体" w:hAnsi="宋体" w:hint="eastAsia"/>
          <w:b/>
        </w:rPr>
        <w:t>四、计算题（共30分，请写出计算公式及过程，计算结果可以保留两位小数）</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26.(本题20分)2020年底A公司拟对B公司进行收购，根据预测分析，得到并购重组</w:t>
      </w:r>
      <w:proofErr w:type="gramStart"/>
      <w:r w:rsidRPr="005E6FD3">
        <w:rPr>
          <w:rFonts w:ascii="宋体" w:eastAsia="宋体" w:hAnsi="宋体" w:hint="eastAsia"/>
        </w:rPr>
        <w:t>后目标</w:t>
      </w:r>
      <w:proofErr w:type="gramEnd"/>
      <w:r w:rsidRPr="005E6FD3">
        <w:rPr>
          <w:rFonts w:ascii="宋体" w:eastAsia="宋体" w:hAnsi="宋体" w:hint="eastAsia"/>
        </w:rPr>
        <w:t>公司B公司2021～2025年间的增量自由现金流量依次为-6000万元、-500万元、2000万元、3000万元、3800万元。假定2026年及其以后各年的增量自由现金流量为1200万元。考虑到未来的其他不确定因素，拟以8%为折现率。此外，B公司账面债务为1600万元。</w:t>
      </w:r>
    </w:p>
    <w:p w:rsidR="005E6FD3" w:rsidRPr="005E6FD3" w:rsidRDefault="005E6FD3" w:rsidP="005E6FD3">
      <w:pPr>
        <w:tabs>
          <w:tab w:val="left" w:pos="420"/>
          <w:tab w:val="left" w:pos="4184"/>
        </w:tabs>
        <w:rPr>
          <w:rFonts w:ascii="宋体" w:eastAsia="宋体" w:hAnsi="宋体"/>
        </w:rPr>
      </w:pPr>
      <w:r>
        <w:rPr>
          <w:rFonts w:ascii="宋体" w:eastAsia="宋体" w:hAnsi="宋体" w:hint="eastAsia"/>
        </w:rPr>
        <w:tab/>
      </w:r>
      <w:r w:rsidRPr="005E6FD3">
        <w:rPr>
          <w:rFonts w:ascii="宋体" w:eastAsia="宋体" w:hAnsi="宋体" w:hint="eastAsia"/>
        </w:rPr>
        <w:t>要求：采用现金流量折现模式对B公司的股权价值进行估算。</w:t>
      </w:r>
    </w:p>
    <w:p w:rsidR="005E6FD3" w:rsidRDefault="005E6FD3" w:rsidP="005E6FD3">
      <w:pPr>
        <w:tabs>
          <w:tab w:val="left" w:pos="420"/>
          <w:tab w:val="left" w:pos="4184"/>
        </w:tabs>
        <w:ind w:firstLine="420"/>
        <w:rPr>
          <w:rFonts w:ascii="宋体" w:eastAsia="宋体" w:hAnsi="宋体"/>
        </w:rPr>
      </w:pPr>
      <w:r w:rsidRPr="005E6FD3">
        <w:rPr>
          <w:rFonts w:ascii="宋体" w:eastAsia="宋体" w:hAnsi="宋体" w:hint="eastAsia"/>
        </w:rPr>
        <w:t>附：复利现值系数表</w:t>
      </w:r>
    </w:p>
    <w:tbl>
      <w:tblPr>
        <w:tblStyle w:val="a7"/>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420"/>
        <w:gridCol w:w="1420"/>
        <w:gridCol w:w="1420"/>
        <w:gridCol w:w="1420"/>
        <w:gridCol w:w="1421"/>
        <w:gridCol w:w="1421"/>
      </w:tblGrid>
      <w:tr w:rsidR="005E6FD3" w:rsidTr="005E6FD3">
        <w:trPr>
          <w:trHeight w:val="283"/>
        </w:trPr>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lastRenderedPageBreak/>
              <w:t>n</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1</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2</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3</w:t>
            </w:r>
          </w:p>
        </w:tc>
        <w:tc>
          <w:tcPr>
            <w:tcW w:w="1421"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4</w:t>
            </w:r>
          </w:p>
        </w:tc>
        <w:tc>
          <w:tcPr>
            <w:tcW w:w="1421"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5</w:t>
            </w:r>
          </w:p>
        </w:tc>
      </w:tr>
      <w:tr w:rsidR="005E6FD3" w:rsidTr="005E6FD3">
        <w:trPr>
          <w:trHeight w:val="283"/>
        </w:trPr>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8%</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0.93</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0.86</w:t>
            </w:r>
          </w:p>
        </w:tc>
        <w:tc>
          <w:tcPr>
            <w:tcW w:w="1420"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0.79</w:t>
            </w:r>
          </w:p>
        </w:tc>
        <w:tc>
          <w:tcPr>
            <w:tcW w:w="1421"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0.74</w:t>
            </w:r>
          </w:p>
        </w:tc>
        <w:tc>
          <w:tcPr>
            <w:tcW w:w="1421" w:type="dxa"/>
            <w:vAlign w:val="center"/>
          </w:tcPr>
          <w:p w:rsidR="005E6FD3" w:rsidRDefault="005E6FD3" w:rsidP="005E6FD3">
            <w:pPr>
              <w:tabs>
                <w:tab w:val="left" w:pos="420"/>
                <w:tab w:val="left" w:pos="4184"/>
              </w:tabs>
              <w:jc w:val="center"/>
              <w:rPr>
                <w:rFonts w:ascii="宋体" w:eastAsia="宋体" w:hAnsi="宋体"/>
              </w:rPr>
            </w:pPr>
            <w:r>
              <w:rPr>
                <w:rFonts w:ascii="宋体" w:eastAsia="宋体" w:hAnsi="宋体" w:hint="eastAsia"/>
              </w:rPr>
              <w:t>0.68</w:t>
            </w:r>
          </w:p>
        </w:tc>
      </w:tr>
    </w:tbl>
    <w:p w:rsidR="005E6FD3" w:rsidRPr="005E6FD3" w:rsidRDefault="005E6FD3" w:rsidP="005E6FD3">
      <w:pPr>
        <w:tabs>
          <w:tab w:val="left" w:pos="420"/>
          <w:tab w:val="left" w:pos="4184"/>
        </w:tabs>
        <w:ind w:firstLine="420"/>
        <w:rPr>
          <w:rFonts w:ascii="宋体" w:eastAsia="宋体" w:hAnsi="宋体"/>
        </w:rPr>
      </w:pP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27.（本题10分）假定某公司资本结构的相关数据如下：</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总资产(即投入资本)1200万元，净资产850万元，息税前利润120万元，利息20万元，所得税率25%，税后利润80万元，加权平均资本成本率为6%。</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请分别计算：</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(1)净资产收益率；</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(2)投入资本报酬率；</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(3)经济增加值。</w:t>
      </w:r>
    </w:p>
    <w:p w:rsidR="005E6FD3" w:rsidRPr="005E6FD3" w:rsidRDefault="005E6FD3" w:rsidP="005E6FD3">
      <w:pPr>
        <w:tabs>
          <w:tab w:val="left" w:pos="420"/>
          <w:tab w:val="left" w:pos="4184"/>
        </w:tabs>
        <w:spacing w:before="150"/>
        <w:rPr>
          <w:rFonts w:ascii="宋体" w:eastAsia="宋体" w:hAnsi="宋体"/>
        </w:rPr>
      </w:pPr>
      <w:r w:rsidRPr="005E6FD3">
        <w:rPr>
          <w:rFonts w:ascii="宋体" w:eastAsia="宋体" w:hAnsi="宋体" w:hint="eastAsia"/>
          <w:b/>
        </w:rPr>
        <w:t>五、案例分析题（共30分）</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28.XXXX年4月，某新技术公司注册成立，公司共15人，注册资金200万元。同年8月，该公司投资80万元，组织10多位专家开发出IT科技产品M上市。11月，公司员工增加到30人，M产品销售量跃居全国同类产品之首，获纯利达1000万元。</w:t>
      </w:r>
    </w:p>
    <w:p w:rsidR="005E6FD3" w:rsidRPr="005E6FD3" w:rsidRDefault="005E6FD3" w:rsidP="005E6FD3">
      <w:pPr>
        <w:tabs>
          <w:tab w:val="left" w:pos="420"/>
          <w:tab w:val="left" w:pos="4184"/>
        </w:tabs>
        <w:rPr>
          <w:rFonts w:ascii="宋体" w:eastAsia="宋体" w:hAnsi="宋体"/>
        </w:rPr>
      </w:pPr>
      <w:r>
        <w:rPr>
          <w:rFonts w:ascii="宋体" w:eastAsia="宋体" w:hAnsi="宋体" w:hint="eastAsia"/>
        </w:rPr>
        <w:tab/>
      </w:r>
      <w:r w:rsidRPr="005E6FD3">
        <w:rPr>
          <w:rFonts w:ascii="宋体" w:eastAsia="宋体" w:hAnsi="宋体" w:hint="eastAsia"/>
        </w:rPr>
        <w:t>第二年7月，该公司实行战略转移，将管理机构和开发基地迁移。9月，该公司升为高科技集团公司，注册资金1.19亿元，公司员工发展到100人。12月底，该集团主推的M产品年销售量2.8万套，销售产值共1</w:t>
      </w:r>
      <w:r>
        <w:rPr>
          <w:rFonts w:ascii="宋体" w:eastAsia="宋体" w:hAnsi="宋体" w:hint="eastAsia"/>
        </w:rPr>
        <w:t>.</w:t>
      </w:r>
      <w:r w:rsidRPr="005E6FD3">
        <w:rPr>
          <w:rFonts w:ascii="宋体" w:eastAsia="宋体" w:hAnsi="宋体" w:hint="eastAsia"/>
        </w:rPr>
        <w:t>6亿元，实现纯利3500万元。年发展速度达500%。</w:t>
      </w:r>
    </w:p>
    <w:p w:rsidR="005E6FD3" w:rsidRPr="005E6FD3" w:rsidRDefault="005E6FD3" w:rsidP="005E6FD3">
      <w:pPr>
        <w:tabs>
          <w:tab w:val="left" w:pos="420"/>
          <w:tab w:val="left" w:pos="4184"/>
        </w:tabs>
        <w:rPr>
          <w:rFonts w:ascii="宋体" w:eastAsia="宋体" w:hAnsi="宋体"/>
        </w:rPr>
      </w:pPr>
      <w:r>
        <w:rPr>
          <w:rFonts w:ascii="宋体" w:eastAsia="宋体" w:hAnsi="宋体" w:hint="eastAsia"/>
        </w:rPr>
        <w:tab/>
      </w:r>
      <w:r w:rsidRPr="005E6FD3">
        <w:rPr>
          <w:rFonts w:ascii="宋体" w:eastAsia="宋体" w:hAnsi="宋体" w:hint="eastAsia"/>
        </w:rPr>
        <w:t>此后四年时间，因种种原因，该集团公司放弃了要做中国“IBM”的专业化发展之路，开始在房地产、生物工程和保健品等领域朝“多元化”方向快速发展。但是，多元化的快速发展使得该集团公司自身的弊端一下子暴露无遗。集团落后的管理制度和财务战略上的重大失误最终导致其财务状况不良而陷入了破产的危机之中。</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根据案例情况，请回答：</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(1)企业集团投资方向及战略的选择有哪些基本类型？优缺点是什么？</w:t>
      </w:r>
    </w:p>
    <w:p w:rsidR="005E6FD3" w:rsidRPr="005E6FD3" w:rsidRDefault="005E6FD3" w:rsidP="005E6FD3">
      <w:pPr>
        <w:tabs>
          <w:tab w:val="left" w:pos="420"/>
          <w:tab w:val="left" w:pos="4184"/>
        </w:tabs>
        <w:rPr>
          <w:rFonts w:ascii="宋体" w:eastAsia="宋体" w:hAnsi="宋体"/>
        </w:rPr>
      </w:pPr>
      <w:r w:rsidRPr="005E6FD3">
        <w:rPr>
          <w:rFonts w:ascii="宋体" w:eastAsia="宋体" w:hAnsi="宋体" w:hint="eastAsia"/>
        </w:rPr>
        <w:t>(2)企业集团投资管理体制的核心是什么？如何处理？</w:t>
      </w:r>
    </w:p>
    <w:p w:rsidR="005E6FD3" w:rsidRDefault="005E6FD3" w:rsidP="005E6FD3">
      <w:pPr>
        <w:tabs>
          <w:tab w:val="left" w:pos="420"/>
          <w:tab w:val="left" w:pos="4184"/>
        </w:tabs>
        <w:rPr>
          <w:rFonts w:ascii="宋体" w:eastAsia="宋体" w:hAnsi="宋体"/>
        </w:rPr>
      </w:pPr>
      <w:r w:rsidRPr="005E6FD3">
        <w:rPr>
          <w:rFonts w:ascii="宋体" w:eastAsia="宋体" w:hAnsi="宋体" w:hint="eastAsia"/>
        </w:rPr>
        <w:t>(3)请分析该集团公司财务状况不良，陷入破产危机的原因。</w:t>
      </w:r>
    </w:p>
    <w:p w:rsidR="00A36A4C" w:rsidRDefault="00A36A4C" w:rsidP="005E6FD3">
      <w:pPr>
        <w:tabs>
          <w:tab w:val="left" w:pos="420"/>
          <w:tab w:val="left" w:pos="4184"/>
        </w:tabs>
        <w:rPr>
          <w:rFonts w:ascii="宋体" w:eastAsia="宋体" w:hAnsi="宋体"/>
        </w:rPr>
      </w:pPr>
    </w:p>
    <w:p w:rsidR="00A36A4C" w:rsidRDefault="00A36A4C" w:rsidP="005E6FD3">
      <w:pPr>
        <w:tabs>
          <w:tab w:val="left" w:pos="420"/>
          <w:tab w:val="left" w:pos="4184"/>
        </w:tabs>
        <w:rPr>
          <w:rFonts w:ascii="宋体" w:eastAsia="宋体" w:hAnsi="宋体"/>
        </w:rPr>
      </w:pPr>
    </w:p>
    <w:p w:rsidR="00A36A4C" w:rsidRDefault="00A36A4C" w:rsidP="00A36A4C">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1292</w:t>
      </w:r>
    </w:p>
    <w:p w:rsidR="00A36A4C" w:rsidRDefault="00A36A4C" w:rsidP="00A36A4C">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A36A4C" w:rsidRDefault="00A36A4C" w:rsidP="00A36A4C">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企业集团财务管理</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A36A4C" w:rsidRDefault="00A36A4C" w:rsidP="00A36A4C">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A36A4C" w:rsidRDefault="00A36A4C" w:rsidP="00A36A4C">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A36A4C" w:rsidRDefault="00A36A4C" w:rsidP="00A36A4C">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w:t>
      </w:r>
      <w:proofErr w:type="gramStart"/>
      <w:r>
        <w:rPr>
          <w:rFonts w:asciiTheme="minorEastAsia" w:hAnsiTheme="minorEastAsia" w:cs="E-BZ" w:hint="eastAsia"/>
          <w:kern w:val="0"/>
          <w:sz w:val="19"/>
          <w:szCs w:val="19"/>
        </w:rPr>
        <w:t>2.A</w:t>
      </w:r>
      <w:proofErr w:type="gramEnd"/>
      <w:r>
        <w:rPr>
          <w:rFonts w:asciiTheme="minorEastAsia" w:hAnsiTheme="minorEastAsia" w:cs="E-BZ" w:hint="eastAsia"/>
          <w:kern w:val="0"/>
          <w:sz w:val="19"/>
          <w:szCs w:val="19"/>
        </w:rPr>
        <w:t xml:space="preserve"> 3.A 4.D 5.B</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 7.C 8.D </w:t>
      </w:r>
      <w:proofErr w:type="gramStart"/>
      <w:r>
        <w:rPr>
          <w:rFonts w:asciiTheme="minorEastAsia" w:hAnsiTheme="minorEastAsia" w:cs="E-BZ" w:hint="eastAsia"/>
          <w:kern w:val="0"/>
          <w:sz w:val="19"/>
          <w:szCs w:val="19"/>
        </w:rPr>
        <w:t>9.D</w:t>
      </w:r>
      <w:proofErr w:type="gramEnd"/>
      <w:r>
        <w:rPr>
          <w:rFonts w:asciiTheme="minorEastAsia" w:hAnsiTheme="minorEastAsia" w:cs="E-BZ" w:hint="eastAsia"/>
          <w:kern w:val="0"/>
          <w:sz w:val="19"/>
          <w:szCs w:val="19"/>
        </w:rPr>
        <w:t xml:space="preserve"> 10.B</w:t>
      </w:r>
    </w:p>
    <w:p w:rsidR="00A36A4C" w:rsidRDefault="00A36A4C" w:rsidP="00A36A4C">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多选或漏选均不得分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11.BE 12.ABD 13.CDE </w:t>
      </w:r>
      <w:proofErr w:type="gramStart"/>
      <w:r>
        <w:rPr>
          <w:rFonts w:asciiTheme="minorEastAsia" w:hAnsiTheme="minorEastAsia" w:cs="E-BZ" w:hint="eastAsia"/>
          <w:kern w:val="0"/>
          <w:sz w:val="19"/>
          <w:szCs w:val="19"/>
        </w:rPr>
        <w:t>14.ACDE</w:t>
      </w:r>
      <w:proofErr w:type="gramEnd"/>
      <w:r>
        <w:rPr>
          <w:rFonts w:asciiTheme="minorEastAsia" w:hAnsiTheme="minorEastAsia" w:cs="E-BZ" w:hint="eastAsia"/>
          <w:kern w:val="0"/>
          <w:sz w:val="19"/>
          <w:szCs w:val="19"/>
        </w:rPr>
        <w:t xml:space="preserve"> 15.BCD</w:t>
      </w:r>
    </w:p>
    <w:p w:rsidR="00A36A4C" w:rsidRDefault="00A36A4C" w:rsidP="00A36A4C">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判断题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16.× 17.√ 18.√ 19.√ 20.×</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21.√ 22.√ 23.× 24.√ 25.×</w:t>
      </w:r>
    </w:p>
    <w:p w:rsidR="00A36A4C" w:rsidRDefault="00A36A4C" w:rsidP="00A36A4C">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lastRenderedPageBreak/>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计算题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列出计算公式或计算过程可酌情给分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本题</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B</w:t>
      </w:r>
      <w:r>
        <w:rPr>
          <w:rFonts w:asciiTheme="minorEastAsia" w:hAnsiTheme="minorEastAsia" w:cs="FZSSK--GBK1-0" w:hint="eastAsia"/>
          <w:kern w:val="0"/>
          <w:sz w:val="19"/>
          <w:szCs w:val="19"/>
        </w:rPr>
        <w:t>公司明确的预测期内现金流量现值总和</w:t>
      </w:r>
    </w:p>
    <w:p w:rsidR="00A36A4C" w:rsidRDefault="00A36A4C" w:rsidP="00A36A4C">
      <w:pPr>
        <w:autoSpaceDE w:val="0"/>
        <w:autoSpaceDN w:val="0"/>
        <w:adjustRightInd w:val="0"/>
        <w:jc w:val="left"/>
        <w:rPr>
          <w:rFonts w:asciiTheme="minorEastAsia" w:hAnsiTheme="minorEastAsia" w:cs="E-BZ" w:hint="eastAsia"/>
          <w:kern w:val="0"/>
          <w:sz w:val="19"/>
          <w:szCs w:val="19"/>
        </w:rPr>
      </w:pPr>
      <m:oMath>
        <m:r>
          <m:rPr>
            <m:sty m:val="p"/>
          </m:rPr>
          <w:rPr>
            <w:rFonts w:ascii="Cambria Math" w:hAnsi="Cambria Math" w:cs="E-BZ"/>
            <w:kern w:val="0"/>
            <w:sz w:val="19"/>
            <w:szCs w:val="19"/>
          </w:rPr>
          <m:t>=</m:t>
        </m:r>
        <m:f>
          <m:fPr>
            <m:ctrlPr>
              <w:rPr>
                <w:rFonts w:ascii="Cambria Math" w:hAnsi="Cambria Math" w:cs="E-BZ"/>
                <w:sz w:val="19"/>
                <w:szCs w:val="19"/>
              </w:rPr>
            </m:ctrlPr>
          </m:fPr>
          <m:num>
            <m:r>
              <w:rPr>
                <w:rFonts w:ascii="Cambria Math" w:hAnsi="Cambria Math" w:cs="E-BZ"/>
                <w:kern w:val="0"/>
                <w:sz w:val="19"/>
                <w:szCs w:val="19"/>
              </w:rPr>
              <m:t>-6000</m:t>
            </m:r>
          </m:num>
          <m:den>
            <m:r>
              <m:rPr>
                <m:sty m:val="p"/>
              </m:rPr>
              <w:rPr>
                <w:rFonts w:ascii="Cambria Math" w:hAnsi="Cambria Math" w:cs="E-BZ"/>
                <w:kern w:val="0"/>
                <w:sz w:val="19"/>
                <w:szCs w:val="19"/>
              </w:rPr>
              <m:t>(1+8%)</m:t>
            </m:r>
          </m:den>
        </m:f>
        <m:r>
          <w:rPr>
            <w:rFonts w:ascii="Cambria Math" w:hAnsi="Cambria Math" w:cs="E-BZ"/>
            <w:kern w:val="0"/>
            <w:sz w:val="19"/>
            <w:szCs w:val="19"/>
          </w:rPr>
          <m:t>+</m:t>
        </m:r>
        <m:f>
          <m:fPr>
            <m:ctrlPr>
              <w:rPr>
                <w:rFonts w:ascii="Cambria Math" w:hAnsi="Cambria Math" w:cs="E-BZ"/>
                <w:i/>
                <w:sz w:val="19"/>
                <w:szCs w:val="19"/>
              </w:rPr>
            </m:ctrlPr>
          </m:fPr>
          <m:num>
            <m:r>
              <w:rPr>
                <w:rFonts w:ascii="Cambria Math" w:hAnsi="Cambria Math" w:cs="E-BZ"/>
                <w:kern w:val="0"/>
                <w:sz w:val="19"/>
                <w:szCs w:val="19"/>
              </w:rPr>
              <m:t>-500</m:t>
            </m:r>
          </m:num>
          <m:den>
            <m:sSup>
              <m:sSupPr>
                <m:ctrlPr>
                  <w:rPr>
                    <w:rFonts w:ascii="Cambria Math" w:hAnsi="Cambria Math" w:cs="E-BZ"/>
                    <w:i/>
                    <w:sz w:val="19"/>
                    <w:szCs w:val="19"/>
                  </w:rPr>
                </m:ctrlPr>
              </m:sSupPr>
              <m:e>
                <m:r>
                  <m:rPr>
                    <m:sty m:val="p"/>
                  </m:rPr>
                  <w:rPr>
                    <w:rFonts w:ascii="Cambria Math" w:hAnsi="Cambria Math" w:cs="E-BZ"/>
                    <w:kern w:val="0"/>
                    <w:sz w:val="19"/>
                    <w:szCs w:val="19"/>
                  </w:rPr>
                  <m:t>(1+8%)</m:t>
                </m:r>
              </m:e>
              <m:sup>
                <m:r>
                  <w:rPr>
                    <w:rFonts w:ascii="Cambria Math" w:hAnsi="Cambria Math" w:cs="E-BZ"/>
                    <w:kern w:val="0"/>
                    <w:sz w:val="19"/>
                    <w:szCs w:val="19"/>
                  </w:rPr>
                  <m:t>2</m:t>
                </m:r>
              </m:sup>
            </m:sSup>
          </m:den>
        </m:f>
        <m:r>
          <w:rPr>
            <w:rFonts w:ascii="Cambria Math" w:hAnsi="Cambria Math" w:cs="E-BZ"/>
            <w:kern w:val="0"/>
            <w:sz w:val="19"/>
            <w:szCs w:val="19"/>
          </w:rPr>
          <m:t>+</m:t>
        </m:r>
        <m:f>
          <m:fPr>
            <m:ctrlPr>
              <w:rPr>
                <w:rFonts w:ascii="Cambria Math" w:hAnsi="Cambria Math" w:cs="E-BZ"/>
                <w:i/>
                <w:sz w:val="19"/>
                <w:szCs w:val="19"/>
              </w:rPr>
            </m:ctrlPr>
          </m:fPr>
          <m:num>
            <m:r>
              <w:rPr>
                <w:rFonts w:ascii="Cambria Math" w:hAnsi="Cambria Math" w:cs="E-BZ"/>
                <w:kern w:val="0"/>
                <w:sz w:val="19"/>
                <w:szCs w:val="19"/>
              </w:rPr>
              <m:t>2000</m:t>
            </m:r>
          </m:num>
          <m:den>
            <m:sSup>
              <m:sSupPr>
                <m:ctrlPr>
                  <w:rPr>
                    <w:rFonts w:ascii="Cambria Math" w:hAnsi="Cambria Math" w:cs="E-BZ"/>
                    <w:i/>
                    <w:sz w:val="19"/>
                    <w:szCs w:val="19"/>
                  </w:rPr>
                </m:ctrlPr>
              </m:sSupPr>
              <m:e>
                <m:r>
                  <m:rPr>
                    <m:sty m:val="p"/>
                  </m:rPr>
                  <w:rPr>
                    <w:rFonts w:ascii="Cambria Math" w:hAnsi="Cambria Math" w:cs="E-BZ"/>
                    <w:kern w:val="0"/>
                    <w:sz w:val="19"/>
                    <w:szCs w:val="19"/>
                  </w:rPr>
                  <m:t>(1+8%)</m:t>
                </m:r>
              </m:e>
              <m:sup>
                <m:r>
                  <w:rPr>
                    <w:rFonts w:ascii="Cambria Math" w:hAnsi="Cambria Math" w:cs="E-BZ"/>
                    <w:kern w:val="0"/>
                    <w:sz w:val="19"/>
                    <w:szCs w:val="19"/>
                  </w:rPr>
                  <m:t>3</m:t>
                </m:r>
              </m:sup>
            </m:sSup>
          </m:den>
        </m:f>
        <m:r>
          <w:rPr>
            <w:rFonts w:ascii="Cambria Math" w:hAnsi="Cambria Math" w:cs="E-BZ"/>
            <w:kern w:val="0"/>
            <w:sz w:val="19"/>
            <w:szCs w:val="19"/>
          </w:rPr>
          <m:t>+</m:t>
        </m:r>
        <m:f>
          <m:fPr>
            <m:ctrlPr>
              <w:rPr>
                <w:rFonts w:ascii="Cambria Math" w:hAnsi="Cambria Math" w:cs="E-BZ"/>
                <w:i/>
                <w:sz w:val="19"/>
                <w:szCs w:val="19"/>
              </w:rPr>
            </m:ctrlPr>
          </m:fPr>
          <m:num>
            <m:r>
              <w:rPr>
                <w:rFonts w:ascii="Cambria Math" w:hAnsi="Cambria Math" w:cs="E-BZ"/>
                <w:kern w:val="0"/>
                <w:sz w:val="19"/>
                <w:szCs w:val="19"/>
              </w:rPr>
              <m:t>3000</m:t>
            </m:r>
          </m:num>
          <m:den>
            <m:sSup>
              <m:sSupPr>
                <m:ctrlPr>
                  <w:rPr>
                    <w:rFonts w:ascii="Cambria Math" w:hAnsi="Cambria Math" w:cs="E-BZ"/>
                    <w:i/>
                    <w:sz w:val="19"/>
                    <w:szCs w:val="19"/>
                  </w:rPr>
                </m:ctrlPr>
              </m:sSupPr>
              <m:e>
                <m:r>
                  <m:rPr>
                    <m:sty m:val="p"/>
                  </m:rPr>
                  <w:rPr>
                    <w:rFonts w:ascii="Cambria Math" w:hAnsi="Cambria Math" w:cs="E-BZ"/>
                    <w:kern w:val="0"/>
                    <w:sz w:val="19"/>
                    <w:szCs w:val="19"/>
                  </w:rPr>
                  <m:t>(1+8%)</m:t>
                </m:r>
              </m:e>
              <m:sup>
                <m:r>
                  <w:rPr>
                    <w:rFonts w:ascii="Cambria Math" w:hAnsi="Cambria Math" w:cs="E-BZ"/>
                    <w:kern w:val="0"/>
                    <w:sz w:val="19"/>
                    <w:szCs w:val="19"/>
                  </w:rPr>
                  <m:t>4</m:t>
                </m:r>
              </m:sup>
            </m:sSup>
          </m:den>
        </m:f>
        <m:r>
          <w:rPr>
            <w:rFonts w:ascii="Cambria Math" w:hAnsi="Cambria Math" w:cs="E-BZ"/>
            <w:kern w:val="0"/>
            <w:sz w:val="19"/>
            <w:szCs w:val="19"/>
          </w:rPr>
          <m:t>+</m:t>
        </m:r>
        <m:f>
          <m:fPr>
            <m:ctrlPr>
              <w:rPr>
                <w:rFonts w:ascii="Cambria Math" w:hAnsi="Cambria Math" w:cs="E-BZ"/>
                <w:i/>
                <w:sz w:val="19"/>
                <w:szCs w:val="19"/>
              </w:rPr>
            </m:ctrlPr>
          </m:fPr>
          <m:num>
            <m:r>
              <w:rPr>
                <w:rFonts w:ascii="Cambria Math" w:hAnsi="Cambria Math" w:cs="E-BZ"/>
                <w:kern w:val="0"/>
                <w:sz w:val="19"/>
                <w:szCs w:val="19"/>
              </w:rPr>
              <m:t>3800</m:t>
            </m:r>
          </m:num>
          <m:den>
            <m:sSup>
              <m:sSupPr>
                <m:ctrlPr>
                  <w:rPr>
                    <w:rFonts w:ascii="Cambria Math" w:hAnsi="Cambria Math" w:cs="E-BZ"/>
                    <w:i/>
                    <w:sz w:val="19"/>
                    <w:szCs w:val="19"/>
                  </w:rPr>
                </m:ctrlPr>
              </m:sSupPr>
              <m:e>
                <m:r>
                  <m:rPr>
                    <m:sty m:val="p"/>
                  </m:rPr>
                  <w:rPr>
                    <w:rFonts w:ascii="Cambria Math" w:hAnsi="Cambria Math" w:cs="E-BZ"/>
                    <w:kern w:val="0"/>
                    <w:sz w:val="19"/>
                    <w:szCs w:val="19"/>
                  </w:rPr>
                  <m:t>(1+8%)</m:t>
                </m:r>
              </m:e>
              <m:sup>
                <m:r>
                  <w:rPr>
                    <w:rFonts w:ascii="Cambria Math" w:hAnsi="Cambria Math" w:cs="E-BZ"/>
                    <w:kern w:val="0"/>
                    <w:sz w:val="19"/>
                    <w:szCs w:val="19"/>
                  </w:rPr>
                  <m:t>5</m:t>
                </m:r>
              </m:sup>
            </m:sSup>
          </m:den>
        </m:f>
      </m:oMath>
      <w:r>
        <w:rPr>
          <w:rFonts w:asciiTheme="minorEastAsia" w:hAnsiTheme="minorEastAsia" w:cs="E-BZ" w:hint="eastAsia"/>
          <w:kern w:val="0"/>
          <w:sz w:val="19"/>
          <w:szCs w:val="19"/>
        </w:rPr>
        <w:t xml:space="preserve"> </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=-6000×0.93-500×0.86+2000×0.79+3000×0.74+3800×0.68</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=-5580-430+1580+2220+2584=374(</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明确的预测期后现金流量现值</w:t>
      </w:r>
    </w:p>
    <w:p w:rsidR="00A36A4C" w:rsidRDefault="00A36A4C" w:rsidP="00A36A4C">
      <w:pPr>
        <w:autoSpaceDE w:val="0"/>
        <w:autoSpaceDN w:val="0"/>
        <w:adjustRightInd w:val="0"/>
        <w:jc w:val="left"/>
        <w:rPr>
          <w:rFonts w:asciiTheme="minorEastAsia" w:hAnsiTheme="minorEastAsia" w:cs="E-BZ" w:hint="eastAsia"/>
          <w:kern w:val="0"/>
          <w:sz w:val="11"/>
          <w:szCs w:val="11"/>
        </w:rPr>
      </w:pPr>
      <w:r>
        <w:rPr>
          <w:rFonts w:asciiTheme="minorEastAsia" w:hAnsiTheme="minorEastAsia" w:cs="E-BZ" w:hint="eastAsia"/>
          <w:kern w:val="0"/>
          <w:sz w:val="19"/>
          <w:szCs w:val="19"/>
        </w:rPr>
        <w:t>=</w:t>
      </w:r>
      <m:oMath>
        <m:f>
          <m:fPr>
            <m:ctrlPr>
              <w:rPr>
                <w:rFonts w:ascii="Cambria Math" w:hAnsi="Cambria Math" w:cs="E-BZ"/>
                <w:sz w:val="19"/>
                <w:szCs w:val="19"/>
              </w:rPr>
            </m:ctrlPr>
          </m:fPr>
          <m:num>
            <m:r>
              <w:rPr>
                <w:rFonts w:ascii="Cambria Math" w:hAnsi="Cambria Math" w:cs="E-BZ"/>
                <w:kern w:val="0"/>
                <w:sz w:val="19"/>
                <w:szCs w:val="19"/>
              </w:rPr>
              <m:t>1200</m:t>
            </m:r>
          </m:num>
          <m:den>
            <m:sSup>
              <m:sSupPr>
                <m:ctrlPr>
                  <w:rPr>
                    <w:rFonts w:ascii="Cambria Math" w:hAnsi="Cambria Math" w:cs="E-BZ"/>
                    <w:i/>
                    <w:sz w:val="19"/>
                    <w:szCs w:val="19"/>
                  </w:rPr>
                </m:ctrlPr>
              </m:sSupPr>
              <m:e>
                <m:r>
                  <m:rPr>
                    <m:sty m:val="p"/>
                  </m:rPr>
                  <w:rPr>
                    <w:rFonts w:ascii="Cambria Math" w:hAnsi="Cambria Math" w:cs="E-BZ"/>
                    <w:kern w:val="0"/>
                    <w:sz w:val="19"/>
                    <w:szCs w:val="19"/>
                  </w:rPr>
                  <m:t>8%</m:t>
                </m:r>
                <m:r>
                  <m:rPr>
                    <m:sty m:val="p"/>
                  </m:rPr>
                  <w:rPr>
                    <w:rFonts w:ascii="Cambria Math" w:hAnsi="Cambria Math" w:cs="E-BZ" w:hint="eastAsia"/>
                    <w:kern w:val="0"/>
                    <w:sz w:val="19"/>
                    <w:szCs w:val="19"/>
                  </w:rPr>
                  <m:t>×</m:t>
                </m:r>
                <m:r>
                  <m:rPr>
                    <m:sty m:val="p"/>
                  </m:rPr>
                  <w:rPr>
                    <w:rFonts w:ascii="Cambria Math" w:hAnsi="Cambria Math" w:cs="E-BZ"/>
                    <w:kern w:val="0"/>
                    <w:sz w:val="19"/>
                    <w:szCs w:val="19"/>
                  </w:rPr>
                  <m:t>(1+8%)</m:t>
                </m:r>
              </m:e>
              <m:sup>
                <m:r>
                  <w:rPr>
                    <w:rFonts w:ascii="Cambria Math" w:hAnsi="Cambria Math" w:cs="E-BZ"/>
                    <w:kern w:val="0"/>
                    <w:sz w:val="19"/>
                    <w:szCs w:val="19"/>
                  </w:rPr>
                  <m:t>5</m:t>
                </m:r>
              </m:sup>
            </m:sSup>
          </m:den>
        </m:f>
      </m:oMath>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m:oMath>
        <m:f>
          <m:fPr>
            <m:ctrlPr>
              <w:rPr>
                <w:rFonts w:ascii="Cambria Math" w:hAnsi="Cambria Math" w:cs="E-BZ"/>
                <w:sz w:val="19"/>
                <w:szCs w:val="19"/>
              </w:rPr>
            </m:ctrlPr>
          </m:fPr>
          <m:num>
            <m:r>
              <w:rPr>
                <w:rFonts w:ascii="Cambria Math" w:hAnsi="Cambria Math" w:cs="E-BZ"/>
                <w:kern w:val="0"/>
                <w:sz w:val="19"/>
                <w:szCs w:val="19"/>
              </w:rPr>
              <m:t>1200</m:t>
            </m:r>
          </m:num>
          <m:den>
            <m:r>
              <w:rPr>
                <w:rFonts w:ascii="Cambria Math" w:hAnsi="Cambria Math" w:cs="E-BZ"/>
                <w:kern w:val="0"/>
                <w:sz w:val="19"/>
                <w:szCs w:val="19"/>
              </w:rPr>
              <m:t>8%</m:t>
            </m:r>
          </m:den>
        </m:f>
        <m:r>
          <m:rPr>
            <m:sty m:val="p"/>
          </m:rPr>
          <w:rPr>
            <w:rFonts w:ascii="Cambria Math" w:hAnsi="Cambria Math" w:cs="E-BZ" w:hint="eastAsia"/>
            <w:kern w:val="0"/>
            <w:sz w:val="19"/>
            <w:szCs w:val="19"/>
          </w:rPr>
          <m:t>×</m:t>
        </m:r>
        <m:r>
          <m:rPr>
            <m:sty m:val="p"/>
          </m:rPr>
          <w:rPr>
            <w:rFonts w:ascii="Cambria Math" w:hAnsiTheme="minorEastAsia" w:cs="E-BZ"/>
            <w:kern w:val="0"/>
            <w:sz w:val="19"/>
            <w:szCs w:val="19"/>
          </w:rPr>
          <m:t>0.68=10200</m:t>
        </m:r>
      </m:oMath>
      <w:r>
        <w:rPr>
          <w:rFonts w:asciiTheme="minorEastAsia" w:hAnsiTheme="minorEastAsia" w:cs="E-BZ" w:hint="eastAsia"/>
          <w:kern w:val="0"/>
          <w:sz w:val="19"/>
          <w:szCs w:val="19"/>
        </w:rPr>
        <w:t>(</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B</w:t>
      </w:r>
      <w:r>
        <w:rPr>
          <w:rFonts w:asciiTheme="minorEastAsia" w:hAnsiTheme="minorEastAsia" w:cs="FZSSK--GBK1-0" w:hint="eastAsia"/>
          <w:kern w:val="0"/>
          <w:sz w:val="19"/>
          <w:szCs w:val="19"/>
        </w:rPr>
        <w:t>公司预计整体价值</w:t>
      </w:r>
      <w:r>
        <w:rPr>
          <w:rFonts w:asciiTheme="minorEastAsia" w:hAnsiTheme="minorEastAsia" w:cs="E-BZ" w:hint="eastAsia"/>
          <w:kern w:val="0"/>
          <w:sz w:val="19"/>
          <w:szCs w:val="19"/>
        </w:rPr>
        <w:t>=374+10200=10574(</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B</w:t>
      </w:r>
      <w:r>
        <w:rPr>
          <w:rFonts w:asciiTheme="minorEastAsia" w:hAnsiTheme="minorEastAsia" w:cs="FZSSK--GBK1-0" w:hint="eastAsia"/>
          <w:kern w:val="0"/>
          <w:sz w:val="19"/>
          <w:szCs w:val="19"/>
        </w:rPr>
        <w:t>公司预计股权价值</w:t>
      </w:r>
      <w:r>
        <w:rPr>
          <w:rFonts w:asciiTheme="minorEastAsia" w:hAnsiTheme="minorEastAsia" w:cs="E-BZ" w:hint="eastAsia"/>
          <w:kern w:val="0"/>
          <w:sz w:val="19"/>
          <w:szCs w:val="19"/>
        </w:rPr>
        <w:t>=10574-1600=8974(</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本题</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净资产收益率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净利润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净资产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账面值</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m:oMath>
        <m:f>
          <m:fPr>
            <m:ctrlPr>
              <w:rPr>
                <w:rFonts w:ascii="Cambria Math" w:hAnsi="Cambria Math" w:cs="E-BZ"/>
                <w:sz w:val="19"/>
                <w:szCs w:val="19"/>
              </w:rPr>
            </m:ctrlPr>
          </m:fPr>
          <m:num>
            <m:r>
              <w:rPr>
                <w:rFonts w:ascii="Cambria Math" w:hAnsi="Cambria Math" w:cs="E-BZ"/>
                <w:kern w:val="0"/>
                <w:sz w:val="19"/>
                <w:szCs w:val="19"/>
              </w:rPr>
              <m:t>80</m:t>
            </m:r>
          </m:num>
          <m:den>
            <m:r>
              <w:rPr>
                <w:rFonts w:ascii="Cambria Math" w:hAnsi="Cambria Math" w:cs="E-BZ"/>
                <w:kern w:val="0"/>
                <w:sz w:val="19"/>
                <w:szCs w:val="19"/>
              </w:rPr>
              <m:t>850</m:t>
            </m:r>
          </m:den>
        </m:f>
        <m:r>
          <m:rPr>
            <m:sty m:val="p"/>
          </m:rPr>
          <w:rPr>
            <w:rFonts w:ascii="Cambria Math" w:hAnsi="Cambria Math" w:cs="E-BZ"/>
            <w:kern w:val="0"/>
            <w:sz w:val="19"/>
            <w:szCs w:val="19"/>
          </w:rPr>
          <m:t>=9.41%</m:t>
        </m:r>
      </m:oMath>
      <w:r>
        <w:rPr>
          <w:rFonts w:asciiTheme="minorEastAsia" w:hAnsiTheme="minorEastAsia" w:cs="E-BZ" w:hint="eastAsia"/>
          <w:kern w:val="0"/>
          <w:sz w:val="19"/>
          <w:szCs w:val="19"/>
        </w:rPr>
        <w:t xml:space="preserve"> (2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投入资本报酬率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息税前利润</w:t>
      </w:r>
      <w:r>
        <w:rPr>
          <w:rFonts w:asciiTheme="minorEastAsia" w:hAnsiTheme="minorEastAsia" w:cs="E-BZ" w:hint="eastAsia"/>
          <w:kern w:val="0"/>
          <w:sz w:val="19"/>
          <w:szCs w:val="19"/>
        </w:rPr>
        <w:t>(1—T)/</w:t>
      </w:r>
      <w:r>
        <w:rPr>
          <w:rFonts w:asciiTheme="minorEastAsia" w:hAnsiTheme="minorEastAsia" w:cs="FZSSK--GBK1-0" w:hint="eastAsia"/>
          <w:kern w:val="0"/>
          <w:sz w:val="19"/>
          <w:szCs w:val="19"/>
        </w:rPr>
        <w:t>投入资本总额</w:t>
      </w:r>
      <w:r>
        <w:rPr>
          <w:rFonts w:asciiTheme="minorEastAsia" w:hAnsiTheme="minorEastAsia" w:cs="E-BZ" w:hint="eastAsia"/>
          <w:kern w:val="0"/>
          <w:sz w:val="19"/>
          <w:szCs w:val="19"/>
        </w:rPr>
        <w:t>×100%</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m:oMath>
        <m:f>
          <m:fPr>
            <m:ctrlPr>
              <w:rPr>
                <w:rFonts w:ascii="Cambria Math" w:hAnsi="Cambria Math" w:cs="E-BZ"/>
                <w:sz w:val="19"/>
                <w:szCs w:val="19"/>
              </w:rPr>
            </m:ctrlPr>
          </m:fPr>
          <m:num>
            <m:r>
              <w:rPr>
                <w:rFonts w:ascii="Cambria Math" w:hAnsi="Cambria Math" w:cs="E-BZ"/>
                <w:kern w:val="0"/>
                <w:sz w:val="19"/>
                <w:szCs w:val="19"/>
              </w:rPr>
              <m:t>120(1-25%)</m:t>
            </m:r>
          </m:num>
          <m:den>
            <m:r>
              <w:rPr>
                <w:rFonts w:ascii="Cambria Math" w:hAnsi="Cambria Math" w:cs="E-BZ"/>
                <w:kern w:val="0"/>
                <w:sz w:val="19"/>
                <w:szCs w:val="19"/>
              </w:rPr>
              <m:t>1200</m:t>
            </m:r>
          </m:den>
        </m:f>
        <m:r>
          <m:rPr>
            <m:sty m:val="p"/>
          </m:rPr>
          <w:rPr>
            <w:rFonts w:ascii="Cambria Math" w:hAnsi="Cambria Math" w:cs="E-BZ"/>
            <w:kern w:val="0"/>
            <w:sz w:val="19"/>
            <w:szCs w:val="19"/>
          </w:rPr>
          <m:t>=</m:t>
        </m:r>
        <m:f>
          <m:fPr>
            <m:ctrlPr>
              <w:rPr>
                <w:rFonts w:ascii="Cambria Math" w:hAnsi="Cambria Math" w:cs="E-BZ"/>
                <w:sz w:val="19"/>
                <w:szCs w:val="19"/>
              </w:rPr>
            </m:ctrlPr>
          </m:fPr>
          <m:num>
            <m:r>
              <w:rPr>
                <w:rFonts w:ascii="Cambria Math" w:hAnsi="Cambria Math" w:cs="E-BZ"/>
                <w:kern w:val="0"/>
                <w:sz w:val="19"/>
                <w:szCs w:val="19"/>
              </w:rPr>
              <m:t>90</m:t>
            </m:r>
          </m:num>
          <m:den>
            <m:r>
              <w:rPr>
                <w:rFonts w:ascii="Cambria Math" w:hAnsi="Cambria Math" w:cs="E-BZ"/>
                <w:kern w:val="0"/>
                <w:sz w:val="19"/>
                <w:szCs w:val="19"/>
              </w:rPr>
              <m:t>1200</m:t>
            </m:r>
          </m:den>
        </m:f>
        <m:r>
          <w:rPr>
            <w:rFonts w:ascii="Cambria Math" w:hAnsi="Cambria Math" w:cs="E-BZ"/>
            <w:kern w:val="0"/>
            <w:sz w:val="19"/>
            <w:szCs w:val="19"/>
          </w:rPr>
          <m:t>=7.5%</m:t>
        </m:r>
      </m:oMath>
      <w:r>
        <w:rPr>
          <w:rFonts w:asciiTheme="minorEastAsia" w:hAnsiTheme="minorEastAsia" w:cs="E-BZ" w:hint="eastAsia"/>
          <w:kern w:val="0"/>
          <w:sz w:val="19"/>
          <w:szCs w:val="19"/>
        </w:rPr>
        <w:t xml:space="preserve"> (4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经济增加值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税后净营业利润</w:t>
      </w:r>
      <w:proofErr w:type="gramStart"/>
      <w:r>
        <w:rPr>
          <w:rFonts w:asciiTheme="minorEastAsia" w:hAnsiTheme="minorEastAsia" w:cs="E-BZ" w:hint="eastAsia"/>
          <w:kern w:val="0"/>
          <w:sz w:val="19"/>
          <w:szCs w:val="19"/>
        </w:rPr>
        <w:t>—</w:t>
      </w:r>
      <w:r>
        <w:rPr>
          <w:rFonts w:asciiTheme="minorEastAsia" w:hAnsiTheme="minorEastAsia" w:cs="FZSSK--GBK1-0" w:hint="eastAsia"/>
          <w:kern w:val="0"/>
          <w:sz w:val="19"/>
          <w:szCs w:val="19"/>
        </w:rPr>
        <w:t>资本</w:t>
      </w:r>
      <w:proofErr w:type="gramEnd"/>
      <w:r>
        <w:rPr>
          <w:rFonts w:asciiTheme="minorEastAsia" w:hAnsiTheme="minorEastAsia" w:cs="FZSSK--GBK1-0" w:hint="eastAsia"/>
          <w:kern w:val="0"/>
          <w:sz w:val="19"/>
          <w:szCs w:val="19"/>
        </w:rPr>
        <w:t>成本</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税后净营业利润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投入资本总额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平均资本成本率</w:t>
      </w:r>
    </w:p>
    <w:p w:rsidR="00A36A4C" w:rsidRDefault="00A36A4C" w:rsidP="00A36A4C">
      <w:pPr>
        <w:rPr>
          <w:rFonts w:asciiTheme="minorEastAsia" w:hAnsiTheme="minorEastAsia" w:cs="E-BZ" w:hint="eastAsia"/>
          <w:kern w:val="0"/>
          <w:sz w:val="19"/>
          <w:szCs w:val="19"/>
        </w:rPr>
      </w:pPr>
      <w:r>
        <w:rPr>
          <w:rFonts w:asciiTheme="minorEastAsia" w:hAnsiTheme="minorEastAsia" w:cs="E-BZ" w:hint="eastAsia"/>
          <w:kern w:val="0"/>
          <w:sz w:val="19"/>
          <w:szCs w:val="19"/>
        </w:rPr>
        <w:t>=90-1200×6%=18(</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28. </w:t>
      </w:r>
      <w:r>
        <w:rPr>
          <w:rFonts w:asciiTheme="minorEastAsia" w:hAnsiTheme="minorEastAsia" w:cs="FZSSK--GBK1-0" w:hint="eastAsia"/>
          <w:kern w:val="0"/>
          <w:sz w:val="19"/>
          <w:szCs w:val="19"/>
        </w:rPr>
        <w:t>要点提示</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任何一个集团的投资战略及业务方向选择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都是企业集团战略规划的核心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而企业集团的投资方向及投资战略主要有以下两种基本类型</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专业化投资战略</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专业化战略又称为一元化战略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是指企业将资源集中于一项业务领域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只从事某一产业的生产与经营</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该战略的优点主要有</w:t>
      </w:r>
      <w:r>
        <w:rPr>
          <w:rFonts w:asciiTheme="minorEastAsia" w:hAnsiTheme="minorEastAsia" w:cs="E-BZ" w:hint="eastAsia"/>
          <w:kern w:val="0"/>
          <w:sz w:val="19"/>
          <w:szCs w:val="19"/>
        </w:rPr>
        <w:t>:①</w:t>
      </w:r>
      <w:r>
        <w:rPr>
          <w:rFonts w:asciiTheme="minorEastAsia" w:hAnsiTheme="minorEastAsia" w:cs="FZSSK--GBK1-0" w:hint="eastAsia"/>
          <w:kern w:val="0"/>
          <w:sz w:val="19"/>
          <w:szCs w:val="19"/>
        </w:rPr>
        <w:t>将有限的资源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精力集中在某一专业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有利于在该专业做精做细</w:t>
      </w:r>
      <w:r>
        <w:rPr>
          <w:rFonts w:asciiTheme="minorEastAsia" w:hAnsiTheme="minorEastAsia" w:cs="E-BZ" w:hint="eastAsia"/>
          <w:kern w:val="0"/>
          <w:sz w:val="19"/>
          <w:szCs w:val="19"/>
        </w:rPr>
        <w:t>。②</w:t>
      </w:r>
      <w:r>
        <w:rPr>
          <w:rFonts w:asciiTheme="minorEastAsia" w:hAnsiTheme="minorEastAsia" w:cs="FZSSK--GBK1-0" w:hint="eastAsia"/>
          <w:kern w:val="0"/>
          <w:sz w:val="19"/>
          <w:szCs w:val="19"/>
        </w:rPr>
        <w:t>有利于在自己擅长的领域创新</w:t>
      </w:r>
      <w:r>
        <w:rPr>
          <w:rFonts w:asciiTheme="minorEastAsia" w:hAnsiTheme="minorEastAsia" w:cs="E-BZ" w:hint="eastAsia"/>
          <w:kern w:val="0"/>
          <w:sz w:val="19"/>
          <w:szCs w:val="19"/>
        </w:rPr>
        <w:t xml:space="preserve">。③ </w:t>
      </w:r>
      <w:r>
        <w:rPr>
          <w:rFonts w:asciiTheme="minorEastAsia" w:hAnsiTheme="minorEastAsia" w:cs="FZSSK--GBK1-0" w:hint="eastAsia"/>
          <w:kern w:val="0"/>
          <w:sz w:val="19"/>
          <w:szCs w:val="19"/>
        </w:rPr>
        <w:t>有利于提高管理水平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但其缺点也十分明显</w:t>
      </w:r>
      <w:r>
        <w:rPr>
          <w:rFonts w:asciiTheme="minorEastAsia" w:hAnsiTheme="minorEastAsia" w:cs="E-BZ" w:hint="eastAsia"/>
          <w:kern w:val="0"/>
          <w:sz w:val="19"/>
          <w:szCs w:val="19"/>
        </w:rPr>
        <w:t xml:space="preserve">:① </w:t>
      </w:r>
      <w:r>
        <w:rPr>
          <w:rFonts w:asciiTheme="minorEastAsia" w:hAnsiTheme="minorEastAsia" w:cs="FZSSK--GBK1-0" w:hint="eastAsia"/>
          <w:kern w:val="0"/>
          <w:sz w:val="19"/>
          <w:szCs w:val="19"/>
        </w:rPr>
        <w:t>风险较大</w:t>
      </w:r>
      <w:r>
        <w:rPr>
          <w:rFonts w:asciiTheme="minorEastAsia" w:hAnsiTheme="minorEastAsia" w:cs="E-BZ" w:hint="eastAsia"/>
          <w:kern w:val="0"/>
          <w:sz w:val="19"/>
          <w:szCs w:val="19"/>
        </w:rPr>
        <w:t xml:space="preserve">。② </w:t>
      </w:r>
      <w:r>
        <w:rPr>
          <w:rFonts w:asciiTheme="minorEastAsia" w:hAnsiTheme="minorEastAsia" w:cs="FZSSK--GBK1-0" w:hint="eastAsia"/>
          <w:kern w:val="0"/>
          <w:sz w:val="19"/>
          <w:szCs w:val="19"/>
        </w:rPr>
        <w:t>容易错失较好的投资机会</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多元化投资战略</w:t>
      </w:r>
    </w:p>
    <w:p w:rsidR="00A36A4C" w:rsidRDefault="00A36A4C" w:rsidP="00A36A4C">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多元化战略它又称多角化战略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是指企业从事两个或两个以上产业或业务领域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多元化投资战略的优</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点主要有</w:t>
      </w:r>
      <w:r>
        <w:rPr>
          <w:rFonts w:asciiTheme="minorEastAsia" w:hAnsiTheme="minorEastAsia" w:cs="E-BZ" w:hint="eastAsia"/>
          <w:kern w:val="0"/>
          <w:sz w:val="19"/>
          <w:szCs w:val="19"/>
        </w:rPr>
        <w:t>:①</w:t>
      </w:r>
      <w:r>
        <w:rPr>
          <w:rFonts w:asciiTheme="minorEastAsia" w:hAnsiTheme="minorEastAsia" w:cs="FZSSK--GBK1-0" w:hint="eastAsia"/>
          <w:kern w:val="0"/>
          <w:sz w:val="19"/>
          <w:szCs w:val="19"/>
        </w:rPr>
        <w:t>分散经营风险</w:t>
      </w:r>
      <w:r>
        <w:rPr>
          <w:rFonts w:asciiTheme="minorEastAsia" w:hAnsiTheme="minorEastAsia" w:cs="E-BZ" w:hint="eastAsia"/>
          <w:kern w:val="0"/>
          <w:sz w:val="19"/>
          <w:szCs w:val="19"/>
        </w:rPr>
        <w:t>。②</w:t>
      </w:r>
      <w:r>
        <w:rPr>
          <w:rFonts w:asciiTheme="minorEastAsia" w:hAnsiTheme="minorEastAsia" w:cs="FZSSK--GBK1-0" w:hint="eastAsia"/>
          <w:kern w:val="0"/>
          <w:sz w:val="19"/>
          <w:szCs w:val="19"/>
        </w:rPr>
        <w:t>用企业代替市场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要素市场代替产品市场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降低交易费用</w:t>
      </w:r>
      <w:r>
        <w:rPr>
          <w:rFonts w:asciiTheme="minorEastAsia" w:hAnsiTheme="minorEastAsia" w:cs="E-BZ" w:hint="eastAsia"/>
          <w:kern w:val="0"/>
          <w:sz w:val="19"/>
          <w:szCs w:val="19"/>
        </w:rPr>
        <w:t>。③</w:t>
      </w:r>
      <w:r>
        <w:rPr>
          <w:rFonts w:asciiTheme="minorEastAsia" w:hAnsiTheme="minorEastAsia" w:cs="FZSSK--GBK1-0" w:hint="eastAsia"/>
          <w:kern w:val="0"/>
          <w:sz w:val="19"/>
          <w:szCs w:val="19"/>
        </w:rPr>
        <w:t>有利于企业集团内部协作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提高效率</w:t>
      </w:r>
      <w:r>
        <w:rPr>
          <w:rFonts w:asciiTheme="minorEastAsia" w:hAnsiTheme="minorEastAsia" w:cs="E-BZ" w:hint="eastAsia"/>
          <w:kern w:val="0"/>
          <w:sz w:val="19"/>
          <w:szCs w:val="19"/>
        </w:rPr>
        <w:t>。④</w:t>
      </w:r>
      <w:r>
        <w:rPr>
          <w:rFonts w:asciiTheme="minorEastAsia" w:hAnsiTheme="minorEastAsia" w:cs="FZSSK--GBK1-0" w:hint="eastAsia"/>
          <w:kern w:val="0"/>
          <w:sz w:val="19"/>
          <w:szCs w:val="19"/>
        </w:rPr>
        <w:t>利用不同业务之间的现金流互补构建内部资本市场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提高资本配置效率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其缺点主要有</w:t>
      </w:r>
      <w:r>
        <w:rPr>
          <w:rFonts w:asciiTheme="minorEastAsia" w:hAnsiTheme="minorEastAsia" w:cs="E-BZ" w:hint="eastAsia"/>
          <w:kern w:val="0"/>
          <w:sz w:val="19"/>
          <w:szCs w:val="19"/>
        </w:rPr>
        <w:t>:①</w:t>
      </w:r>
      <w:r>
        <w:rPr>
          <w:rFonts w:asciiTheme="minorEastAsia" w:hAnsiTheme="minorEastAsia" w:cs="FZSSK--GBK1-0" w:hint="eastAsia"/>
          <w:kern w:val="0"/>
          <w:sz w:val="19"/>
          <w:szCs w:val="19"/>
        </w:rPr>
        <w:t>分散企业有限资源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可能使企业缺乏竞争力</w:t>
      </w:r>
      <w:r>
        <w:rPr>
          <w:rFonts w:asciiTheme="minorEastAsia" w:hAnsiTheme="minorEastAsia" w:cs="E-BZ" w:hint="eastAsia"/>
          <w:kern w:val="0"/>
          <w:sz w:val="19"/>
          <w:szCs w:val="19"/>
        </w:rPr>
        <w:t>;②</w:t>
      </w:r>
      <w:r>
        <w:rPr>
          <w:rFonts w:asciiTheme="minorEastAsia" w:hAnsiTheme="minorEastAsia" w:cs="FZSSK--GBK1-0" w:hint="eastAsia"/>
          <w:kern w:val="0"/>
          <w:sz w:val="19"/>
          <w:szCs w:val="19"/>
        </w:rPr>
        <w:t>组织与管理成本很高</w:t>
      </w:r>
      <w:r>
        <w:rPr>
          <w:rFonts w:asciiTheme="minorEastAsia" w:hAnsiTheme="minorEastAsia" w:cs="E-BZ" w:hint="eastAsia"/>
          <w:kern w:val="0"/>
          <w:sz w:val="19"/>
          <w:szCs w:val="19"/>
        </w:rPr>
        <w:t>。(14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在企业集团投资决策程序中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选择合理的集团投资管理体制并与企业集团财务管理体制相适应非常重要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而集团投资管理体制的核心是合理分配投资决策权</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从企业集团战略管理角度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任何企业集团的重大投资决策权都集中于集团总部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在这里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所谓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重大投资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通常有两个标准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偏离企业集团原有业务方向的投资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在原有业务方向的范围内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所需投资总额巨大的投资项目</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在集团财务战略含义中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特别强调可持续发展的增长理念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协同效应最大化的价值理念以及财务数</w:t>
      </w:r>
      <w:r>
        <w:rPr>
          <w:rFonts w:asciiTheme="minorEastAsia" w:hAnsiTheme="minorEastAsia" w:cs="FZSSK--GBK1-0" w:hint="eastAsia"/>
          <w:kern w:val="0"/>
          <w:sz w:val="19"/>
          <w:szCs w:val="19"/>
        </w:rPr>
        <w:lastRenderedPageBreak/>
        <w:t>据化的管理文化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w:t>
      </w:r>
      <w:r>
        <w:rPr>
          <w:rFonts w:asciiTheme="minorEastAsia" w:hAnsiTheme="minorEastAsia" w:cs="E-BZ" w:hint="eastAsia"/>
          <w:kern w:val="0"/>
          <w:sz w:val="19"/>
          <w:szCs w:val="19"/>
        </w:rPr>
        <w:t xml:space="preserve">A </w:t>
      </w:r>
      <w:r>
        <w:rPr>
          <w:rFonts w:asciiTheme="minorEastAsia" w:hAnsiTheme="minorEastAsia" w:cs="FZSSK--GBK1-0" w:hint="eastAsia"/>
          <w:kern w:val="0"/>
          <w:sz w:val="19"/>
          <w:szCs w:val="19"/>
        </w:rPr>
        <w:t>集团在战略上没有重视核心竞争力的理论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没有对其擅长的领域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市场的深度开发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谋取产业竞争优势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管理制度上又比较落后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没能保持持续发展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使集团财务状况不良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陷入了破产危机</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36A4C" w:rsidRDefault="00A36A4C" w:rsidP="00A36A4C">
      <w:pPr>
        <w:autoSpaceDE w:val="0"/>
        <w:autoSpaceDN w:val="0"/>
        <w:adjustRightInd w:val="0"/>
        <w:jc w:val="left"/>
        <w:rPr>
          <w:rFonts w:asciiTheme="minorEastAsia" w:hAnsiTheme="minorEastAsia" w:hint="eastAsia"/>
        </w:rPr>
      </w:pP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学生能用自己的语言表达核心意思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可以得分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意思不够准确的适当扣分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在某一点上论述很充分的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适当加分</w:t>
      </w:r>
      <w:r>
        <w:rPr>
          <w:rFonts w:asciiTheme="minorEastAsia" w:hAnsiTheme="minorEastAsia" w:cs="E-BZ" w:hint="eastAsia"/>
          <w:kern w:val="0"/>
          <w:sz w:val="19"/>
          <w:szCs w:val="19"/>
        </w:rPr>
        <w:t>。</w:t>
      </w:r>
    </w:p>
    <w:p w:rsidR="00A36A4C" w:rsidRPr="00A36A4C" w:rsidRDefault="00A36A4C" w:rsidP="005E6FD3">
      <w:pPr>
        <w:tabs>
          <w:tab w:val="left" w:pos="420"/>
          <w:tab w:val="left" w:pos="4184"/>
        </w:tabs>
        <w:rPr>
          <w:rFonts w:ascii="宋体" w:eastAsia="宋体" w:hAnsi="宋体" w:hint="eastAsia"/>
        </w:rPr>
      </w:pPr>
    </w:p>
    <w:p w:rsidR="005E6FD3" w:rsidRPr="005E6FD3" w:rsidRDefault="005E6FD3" w:rsidP="005E6FD3">
      <w:pPr>
        <w:tabs>
          <w:tab w:val="left" w:pos="420"/>
          <w:tab w:val="left" w:pos="4184"/>
        </w:tabs>
        <w:rPr>
          <w:rFonts w:ascii="宋体" w:eastAsia="宋体" w:hAnsi="宋体"/>
        </w:rPr>
      </w:pPr>
    </w:p>
    <w:sectPr w:rsidR="005E6FD3" w:rsidRPr="005E6FD3"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459C" w:rsidRDefault="008D459C" w:rsidP="00DF57AA">
      <w:r>
        <w:separator/>
      </w:r>
    </w:p>
  </w:endnote>
  <w:endnote w:type="continuationSeparator" w:id="0">
    <w:p w:rsidR="008D459C" w:rsidRDefault="008D459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459C" w:rsidRDefault="008D459C" w:rsidP="00DF57AA">
      <w:r>
        <w:separator/>
      </w:r>
    </w:p>
  </w:footnote>
  <w:footnote w:type="continuationSeparator" w:id="0">
    <w:p w:rsidR="008D459C" w:rsidRDefault="008D459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FD3"/>
    <w:rsid w:val="00192BD6"/>
    <w:rsid w:val="002A6799"/>
    <w:rsid w:val="003E252C"/>
    <w:rsid w:val="004C0EED"/>
    <w:rsid w:val="00594D84"/>
    <w:rsid w:val="005E6FD3"/>
    <w:rsid w:val="007F252E"/>
    <w:rsid w:val="008C4621"/>
    <w:rsid w:val="008D459C"/>
    <w:rsid w:val="00915154"/>
    <w:rsid w:val="00964DA1"/>
    <w:rsid w:val="00A36A4C"/>
    <w:rsid w:val="00A65A8B"/>
    <w:rsid w:val="00AD5A41"/>
    <w:rsid w:val="00B977D0"/>
    <w:rsid w:val="00BB0166"/>
    <w:rsid w:val="00BF16A3"/>
    <w:rsid w:val="00DF57AA"/>
    <w:rsid w:val="00E518EE"/>
    <w:rsid w:val="00F54D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1D14"/>
  <w15:docId w15:val="{D1B886BD-F524-4138-8581-CDC8166A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5E6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40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686</Words>
  <Characters>3912</Characters>
  <Application>Microsoft Office Word</Application>
  <DocSecurity>0</DocSecurity>
  <Lines>32</Lines>
  <Paragraphs>9</Paragraphs>
  <ScaleCrop>false</ScaleCrop>
  <Company>china</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2022-08-06T09:03:00Z</dcterms:created>
  <dcterms:modified xsi:type="dcterms:W3CDTF">2022-11-22T06:46:00Z</dcterms:modified>
</cp:coreProperties>
</file>